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rPr>
          <w:rFonts w:hint="eastAsia" w:ascii="黑体" w:hAnsi="黑体" w:eastAsia="黑体" w:cs="黑体"/>
          <w:b/>
          <w:sz w:val="32"/>
          <w:szCs w:val="32"/>
          <w:lang w:val="en-US" w:eastAsia="zh-CN"/>
        </w:rPr>
      </w:pPr>
      <w:bookmarkStart w:id="0" w:name="_GoBack"/>
      <w:bookmarkEnd w:id="0"/>
      <w:r>
        <w:rPr>
          <w:rFonts w:hint="eastAsia" w:ascii="黑体" w:hAnsi="黑体" w:eastAsia="黑体" w:cs="黑体"/>
          <w:b w:val="0"/>
          <w:bCs/>
          <w:kern w:val="2"/>
          <w:sz w:val="32"/>
          <w:szCs w:val="32"/>
          <w:lang w:val="en-US" w:eastAsia="zh-CN" w:bidi="ar"/>
        </w:rPr>
        <w:t>附件2</w:t>
      </w:r>
      <w:r>
        <w:rPr>
          <w:rFonts w:hint="eastAsia" w:ascii="黑体" w:hAnsi="黑体" w:eastAsia="黑体" w:cs="黑体"/>
          <w:b w:val="0"/>
          <w:bCs/>
          <w:kern w:val="2"/>
          <w:sz w:val="32"/>
          <w:szCs w:val="32"/>
          <w:lang w:val="en-US" w:eastAsia="zh-CN" w:bidi="ar"/>
        </w:rPr>
        <w:t>-2</w:t>
      </w:r>
      <w:r>
        <w:rPr>
          <w:rFonts w:hint="eastAsia" w:ascii="黑体" w:hAnsi="黑体" w:eastAsia="黑体" w:cs="黑体"/>
          <w:b w:val="0"/>
          <w:bCs/>
          <w:kern w:val="2"/>
          <w:sz w:val="32"/>
          <w:szCs w:val="32"/>
          <w:lang w:val="en-US" w:eastAsia="zh-CN" w:bidi="ar"/>
        </w:rPr>
        <w:t xml:space="preserve"> </w:t>
      </w:r>
      <w:r>
        <w:rPr>
          <w:rFonts w:hint="eastAsia" w:ascii="黑体" w:hAnsi="黑体" w:eastAsia="黑体" w:cs="黑体"/>
          <w:b/>
          <w:sz w:val="32"/>
          <w:szCs w:val="32"/>
          <w:lang w:val="en-US" w:eastAsia="zh-CN"/>
        </w:rPr>
        <w:t xml:space="preserve">                </w:t>
      </w:r>
    </w:p>
    <w:p>
      <w:pPr>
        <w:spacing w:line="600" w:lineRule="exact"/>
        <w:jc w:val="center"/>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项目支出绩效评价指标体系框架</w:t>
      </w:r>
    </w:p>
    <w:tbl>
      <w:tblPr>
        <w:tblStyle w:val="4"/>
        <w:tblW w:w="0" w:type="auto"/>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586"/>
        <w:gridCol w:w="382"/>
        <w:gridCol w:w="580"/>
        <w:gridCol w:w="850"/>
        <w:gridCol w:w="709"/>
        <w:gridCol w:w="1399"/>
        <w:gridCol w:w="873"/>
        <w:gridCol w:w="7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802" w:type="dxa"/>
            <w:gridSpan w:val="8"/>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ind w:firstLine="420" w:firstLineChars="200"/>
              <w:jc w:val="center"/>
              <w:rPr>
                <w:rFonts w:ascii="仿宋_GB2312" w:hAnsi="宋体" w:cs="宋体"/>
                <w:color w:val="000000"/>
                <w:kern w:val="0"/>
                <w:sz w:val="21"/>
                <w:szCs w:val="21"/>
              </w:rPr>
            </w:pPr>
            <w:r>
              <w:rPr>
                <w:rFonts w:hint="eastAsia" w:ascii="仿宋_GB2312" w:hAnsi="宋体" w:cs="宋体"/>
                <w:color w:val="000000"/>
                <w:kern w:val="0"/>
                <w:sz w:val="21"/>
                <w:szCs w:val="21"/>
              </w:rPr>
              <w:t>评价指标</w:t>
            </w:r>
          </w:p>
        </w:tc>
        <w:tc>
          <w:tcPr>
            <w:tcW w:w="7548"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ind w:firstLine="420" w:firstLineChars="200"/>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00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一级指标</w:t>
            </w:r>
          </w:p>
        </w:tc>
        <w:tc>
          <w:tcPr>
            <w:tcW w:w="962"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二级指标</w:t>
            </w:r>
          </w:p>
        </w:tc>
        <w:tc>
          <w:tcPr>
            <w:tcW w:w="1559"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三级指标</w:t>
            </w:r>
          </w:p>
        </w:tc>
        <w:tc>
          <w:tcPr>
            <w:tcW w:w="2272" w:type="dxa"/>
            <w:gridSpan w:val="2"/>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四级指标</w:t>
            </w:r>
          </w:p>
        </w:tc>
        <w:tc>
          <w:tcPr>
            <w:tcW w:w="754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423" w:type="dxa"/>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名称</w:t>
            </w:r>
          </w:p>
        </w:tc>
        <w:tc>
          <w:tcPr>
            <w:tcW w:w="586"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权重(%)</w:t>
            </w:r>
          </w:p>
        </w:tc>
        <w:tc>
          <w:tcPr>
            <w:tcW w:w="382"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名称</w:t>
            </w:r>
          </w:p>
        </w:tc>
        <w:tc>
          <w:tcPr>
            <w:tcW w:w="580"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权重(%)</w:t>
            </w:r>
          </w:p>
        </w:tc>
        <w:tc>
          <w:tcPr>
            <w:tcW w:w="850"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名称</w:t>
            </w:r>
          </w:p>
        </w:tc>
        <w:tc>
          <w:tcPr>
            <w:tcW w:w="70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权重(%)</w:t>
            </w:r>
          </w:p>
        </w:tc>
        <w:tc>
          <w:tcPr>
            <w:tcW w:w="139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名称</w:t>
            </w:r>
          </w:p>
        </w:tc>
        <w:tc>
          <w:tcPr>
            <w:tcW w:w="873"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权重(%)</w:t>
            </w:r>
          </w:p>
        </w:tc>
        <w:tc>
          <w:tcPr>
            <w:tcW w:w="7548"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423"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投入</w:t>
            </w:r>
          </w:p>
        </w:tc>
        <w:tc>
          <w:tcPr>
            <w:tcW w:w="586"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20</w:t>
            </w:r>
          </w:p>
        </w:tc>
        <w:tc>
          <w:tcPr>
            <w:tcW w:w="382"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项目立项</w:t>
            </w:r>
          </w:p>
        </w:tc>
        <w:tc>
          <w:tcPr>
            <w:tcW w:w="580"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12</w:t>
            </w:r>
          </w:p>
        </w:tc>
        <w:tc>
          <w:tcPr>
            <w:tcW w:w="850"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论证</w:t>
            </w:r>
          </w:p>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决策</w:t>
            </w:r>
          </w:p>
        </w:tc>
        <w:tc>
          <w:tcPr>
            <w:tcW w:w="70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4</w:t>
            </w:r>
          </w:p>
        </w:tc>
        <w:tc>
          <w:tcPr>
            <w:tcW w:w="139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论证充分性</w:t>
            </w:r>
          </w:p>
        </w:tc>
        <w:tc>
          <w:tcPr>
            <w:tcW w:w="873"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4</w:t>
            </w:r>
          </w:p>
        </w:tc>
        <w:tc>
          <w:tcPr>
            <w:tcW w:w="7548" w:type="dxa"/>
            <w:tcBorders>
              <w:top w:val="nil"/>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eastAsia="zh-CN"/>
              </w:rPr>
              <w:t>具有</w:t>
            </w:r>
            <w:r>
              <w:rPr>
                <w:rFonts w:hint="eastAsia" w:ascii="仿宋_GB2312" w:hAnsi="宋体" w:cs="宋体"/>
                <w:color w:val="000000"/>
                <w:kern w:val="0"/>
                <w:sz w:val="21"/>
                <w:szCs w:val="21"/>
              </w:rPr>
              <w:t>前期可行性研究报告或摸底调查工作总结等文字材料的得</w:t>
            </w:r>
            <w:r>
              <w:rPr>
                <w:rFonts w:hint="eastAsia" w:ascii="仿宋_GB2312" w:hAnsi="宋体" w:cs="宋体"/>
                <w:color w:val="000000"/>
                <w:kern w:val="0"/>
                <w:sz w:val="21"/>
                <w:szCs w:val="21"/>
                <w:lang w:val="en-US" w:eastAsia="zh-CN"/>
              </w:rPr>
              <w:t>3</w:t>
            </w:r>
            <w:r>
              <w:rPr>
                <w:rFonts w:hint="eastAsia" w:ascii="仿宋_GB2312" w:hAnsi="宋体" w:cs="宋体"/>
                <w:color w:val="000000"/>
                <w:kern w:val="0"/>
                <w:sz w:val="21"/>
                <w:szCs w:val="21"/>
              </w:rPr>
              <w:t>分；经过集体会议协商，并咨询相关专家意见，且有文字材料的得</w:t>
            </w:r>
            <w:r>
              <w:rPr>
                <w:rFonts w:hint="eastAsia" w:ascii="仿宋_GB2312" w:hAnsi="宋体" w:cs="宋体"/>
                <w:color w:val="000000"/>
                <w:kern w:val="0"/>
                <w:sz w:val="21"/>
                <w:szCs w:val="21"/>
                <w:lang w:val="en-US" w:eastAsia="zh-CN"/>
              </w:rPr>
              <w:t>2</w:t>
            </w:r>
            <w:r>
              <w:rPr>
                <w:rFonts w:hint="eastAsia" w:ascii="仿宋_GB2312" w:hAnsi="宋体" w:cs="宋体"/>
                <w:color w:val="000000"/>
                <w:kern w:val="0"/>
                <w:sz w:val="21"/>
                <w:szCs w:val="21"/>
              </w:rPr>
              <w:t>分。</w:t>
            </w:r>
            <w:r>
              <w:rPr>
                <w:rFonts w:hint="eastAsia" w:ascii="仿宋_GB2312" w:hAnsi="宋体" w:cs="宋体"/>
                <w:color w:val="000000"/>
                <w:kern w:val="0"/>
                <w:sz w:val="21"/>
                <w:szCs w:val="21"/>
                <w:lang w:eastAsia="zh-CN"/>
              </w:rPr>
              <w:t>如无，则根据实际情况核定分数。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423"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850"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目标</w:t>
            </w:r>
          </w:p>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设置</w:t>
            </w:r>
          </w:p>
        </w:tc>
        <w:tc>
          <w:tcPr>
            <w:tcW w:w="709"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6</w:t>
            </w:r>
          </w:p>
        </w:tc>
        <w:tc>
          <w:tcPr>
            <w:tcW w:w="139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完整性</w:t>
            </w:r>
          </w:p>
        </w:tc>
        <w:tc>
          <w:tcPr>
            <w:tcW w:w="873"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2</w:t>
            </w:r>
          </w:p>
        </w:tc>
        <w:tc>
          <w:tcPr>
            <w:tcW w:w="7548" w:type="dxa"/>
            <w:tcBorders>
              <w:top w:val="nil"/>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cs="宋体"/>
                <w:color w:val="000000"/>
                <w:kern w:val="0"/>
                <w:sz w:val="21"/>
                <w:szCs w:val="21"/>
              </w:rPr>
            </w:pPr>
            <w:r>
              <w:rPr>
                <w:rFonts w:hint="eastAsia" w:ascii="仿宋_GB2312" w:hAnsi="宋体" w:cs="宋体"/>
                <w:color w:val="000000"/>
                <w:kern w:val="0"/>
                <w:sz w:val="21"/>
                <w:szCs w:val="21"/>
              </w:rPr>
              <w:t>依据相关基础信息和证据判断目标设置的完整性，即是否包含总目标和阶段性目标，是否包括预期提供的公共产品或服务的产出数量、质量、成本指标，预期达到的效果性指标，据此核定分数。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trPr>
        <w:tc>
          <w:tcPr>
            <w:tcW w:w="423"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85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709"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139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lang w:eastAsia="zh-CN"/>
              </w:rPr>
              <w:t>合理</w:t>
            </w:r>
            <w:r>
              <w:rPr>
                <w:rFonts w:hint="eastAsia" w:ascii="仿宋_GB2312" w:hAnsi="宋体" w:cs="宋体"/>
                <w:color w:val="000000"/>
                <w:kern w:val="0"/>
                <w:sz w:val="21"/>
                <w:szCs w:val="21"/>
              </w:rPr>
              <w:t>性</w:t>
            </w:r>
          </w:p>
        </w:tc>
        <w:tc>
          <w:tcPr>
            <w:tcW w:w="873"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2</w:t>
            </w:r>
          </w:p>
        </w:tc>
        <w:tc>
          <w:tcPr>
            <w:tcW w:w="7548" w:type="dxa"/>
            <w:tcBorders>
              <w:top w:val="nil"/>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cs="宋体"/>
                <w:color w:val="000000"/>
                <w:kern w:val="0"/>
                <w:sz w:val="21"/>
                <w:szCs w:val="21"/>
              </w:rPr>
            </w:pPr>
            <w:r>
              <w:rPr>
                <w:rFonts w:hint="eastAsia" w:ascii="仿宋_GB2312" w:hAnsi="宋体" w:cs="宋体"/>
                <w:color w:val="000000"/>
                <w:kern w:val="0"/>
                <w:sz w:val="21"/>
                <w:szCs w:val="21"/>
              </w:rPr>
              <w:t>依据相关基础信息和证据判断目标设置的</w:t>
            </w:r>
            <w:r>
              <w:rPr>
                <w:rFonts w:hint="eastAsia" w:ascii="仿宋_GB2312" w:hAnsi="宋体" w:cs="宋体"/>
                <w:color w:val="000000"/>
                <w:kern w:val="0"/>
                <w:sz w:val="21"/>
                <w:szCs w:val="21"/>
                <w:lang w:eastAsia="zh-CN"/>
              </w:rPr>
              <w:t>相关</w:t>
            </w:r>
            <w:r>
              <w:rPr>
                <w:rFonts w:hint="eastAsia" w:ascii="仿宋_GB2312" w:hAnsi="宋体" w:cs="宋体"/>
                <w:color w:val="000000"/>
                <w:kern w:val="0"/>
                <w:sz w:val="21"/>
                <w:szCs w:val="21"/>
              </w:rPr>
              <w:t>性，即绩效目标是否与资金或项目属性特点、支出内容相关，体现决策意图，同时合乎客观实际，据此核定分数。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423"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85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709"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139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可衡量性</w:t>
            </w:r>
          </w:p>
        </w:tc>
        <w:tc>
          <w:tcPr>
            <w:tcW w:w="873"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2</w:t>
            </w:r>
          </w:p>
        </w:tc>
        <w:tc>
          <w:tcPr>
            <w:tcW w:w="7548" w:type="dxa"/>
            <w:tcBorders>
              <w:top w:val="nil"/>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cs="宋体"/>
                <w:color w:val="000000"/>
                <w:kern w:val="0"/>
                <w:sz w:val="21"/>
                <w:szCs w:val="21"/>
              </w:rPr>
            </w:pPr>
            <w:r>
              <w:rPr>
                <w:rFonts w:hint="eastAsia" w:ascii="仿宋_GB2312" w:hAnsi="宋体" w:cs="宋体"/>
                <w:color w:val="000000"/>
                <w:kern w:val="0"/>
                <w:sz w:val="21"/>
                <w:szCs w:val="21"/>
              </w:rPr>
              <w:t>依据相关基础信息和证据判断目标设置的可衡量性，即绩效目标设置是否有数据支撑、是否有可衡量性的</w:t>
            </w:r>
            <w:r>
              <w:rPr>
                <w:rFonts w:hint="eastAsia" w:ascii="仿宋_GB2312" w:hAnsi="宋体" w:cs="宋体"/>
                <w:color w:val="000000"/>
                <w:kern w:val="0"/>
                <w:sz w:val="21"/>
                <w:szCs w:val="21"/>
                <w:lang w:eastAsia="zh-CN"/>
              </w:rPr>
              <w:t>产出和效果</w:t>
            </w:r>
            <w:r>
              <w:rPr>
                <w:rFonts w:hint="eastAsia" w:ascii="仿宋_GB2312" w:hAnsi="宋体" w:cs="宋体"/>
                <w:color w:val="000000"/>
                <w:kern w:val="0"/>
                <w:sz w:val="21"/>
                <w:szCs w:val="21"/>
              </w:rPr>
              <w:t>指标，据此核定分数。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423"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850"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ind w:left="207" w:leftChars="69" w:firstLine="0" w:firstLineChars="0"/>
              <w:jc w:val="both"/>
              <w:rPr>
                <w:rFonts w:hint="eastAsia" w:ascii="仿宋_GB2312" w:hAnsi="宋体" w:cs="宋体"/>
                <w:color w:val="000000"/>
                <w:kern w:val="0"/>
                <w:sz w:val="21"/>
                <w:szCs w:val="21"/>
                <w:lang w:val="en-US" w:eastAsia="zh-CN"/>
              </w:rPr>
            </w:pPr>
            <w:r>
              <w:rPr>
                <w:rFonts w:hint="eastAsia" w:ascii="仿宋_GB2312" w:hAnsi="宋体" w:cs="宋体"/>
                <w:color w:val="000000"/>
                <w:kern w:val="0"/>
                <w:sz w:val="21"/>
                <w:szCs w:val="21"/>
                <w:lang w:val="en-US" w:eastAsia="zh-CN"/>
              </w:rPr>
              <w:t>保障</w:t>
            </w:r>
          </w:p>
          <w:p>
            <w:pPr>
              <w:widowControl/>
              <w:spacing w:line="240" w:lineRule="exact"/>
              <w:ind w:left="207" w:leftChars="69" w:firstLine="0" w:firstLineChars="0"/>
              <w:jc w:val="both"/>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措施</w:t>
            </w:r>
          </w:p>
        </w:tc>
        <w:tc>
          <w:tcPr>
            <w:tcW w:w="709"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2</w:t>
            </w:r>
          </w:p>
        </w:tc>
        <w:tc>
          <w:tcPr>
            <w:tcW w:w="139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lang w:val="en-US" w:eastAsia="zh-CN"/>
              </w:rPr>
              <w:t xml:space="preserve"> </w:t>
            </w:r>
            <w:r>
              <w:rPr>
                <w:rFonts w:hint="eastAsia" w:ascii="仿宋_GB2312" w:hAnsi="宋体" w:cs="宋体"/>
                <w:color w:val="000000"/>
                <w:kern w:val="0"/>
                <w:sz w:val="21"/>
                <w:szCs w:val="21"/>
              </w:rPr>
              <w:t>制度完整性</w:t>
            </w:r>
          </w:p>
        </w:tc>
        <w:tc>
          <w:tcPr>
            <w:tcW w:w="873"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1</w:t>
            </w:r>
          </w:p>
        </w:tc>
        <w:tc>
          <w:tcPr>
            <w:tcW w:w="7548" w:type="dxa"/>
            <w:tcBorders>
              <w:top w:val="nil"/>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cs="宋体"/>
                <w:color w:val="000000"/>
                <w:kern w:val="0"/>
                <w:sz w:val="21"/>
                <w:szCs w:val="21"/>
                <w:lang w:eastAsia="zh-CN"/>
              </w:rPr>
            </w:pPr>
            <w:r>
              <w:rPr>
                <w:rFonts w:hint="eastAsia" w:ascii="仿宋_GB2312" w:hAnsi="宋体" w:cs="宋体"/>
                <w:color w:val="000000"/>
                <w:kern w:val="0"/>
                <w:sz w:val="21"/>
                <w:szCs w:val="21"/>
                <w:lang w:eastAsia="zh-CN"/>
              </w:rPr>
              <w:t>依据相关基础信息和证据判断制度完整性和是否具备条件实施，根据实际情况核定分数。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423"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85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709"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1399" w:type="dxa"/>
            <w:tcBorders>
              <w:top w:val="nil"/>
              <w:left w:val="nil"/>
              <w:bottom w:val="single" w:color="auto" w:sz="4" w:space="0"/>
              <w:right w:val="single" w:color="auto" w:sz="4" w:space="0"/>
              <w:tl2br w:val="nil"/>
              <w:tr2bl w:val="nil"/>
            </w:tcBorders>
            <w:noWrap w:val="0"/>
            <w:vAlign w:val="center"/>
          </w:tcPr>
          <w:p>
            <w:pPr>
              <w:widowControl/>
              <w:spacing w:line="240" w:lineRule="exact"/>
              <w:ind w:left="417" w:leftChars="69" w:hanging="210" w:hangingChars="100"/>
              <w:jc w:val="both"/>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eastAsia="zh-CN"/>
              </w:rPr>
              <w:t>计划安排合理性</w:t>
            </w:r>
          </w:p>
        </w:tc>
        <w:tc>
          <w:tcPr>
            <w:tcW w:w="873"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1</w:t>
            </w:r>
          </w:p>
        </w:tc>
        <w:tc>
          <w:tcPr>
            <w:tcW w:w="7548" w:type="dxa"/>
            <w:tcBorders>
              <w:top w:val="nil"/>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eastAsia="zh-CN"/>
              </w:rPr>
              <w:t>依据工作进度计划等相关基础信息和证据判断，并根据实际情况核定分数。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423"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资金落实</w:t>
            </w:r>
          </w:p>
        </w:tc>
        <w:tc>
          <w:tcPr>
            <w:tcW w:w="580"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8</w:t>
            </w:r>
          </w:p>
        </w:tc>
        <w:tc>
          <w:tcPr>
            <w:tcW w:w="850"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资金</w:t>
            </w:r>
          </w:p>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到位</w:t>
            </w:r>
          </w:p>
        </w:tc>
        <w:tc>
          <w:tcPr>
            <w:tcW w:w="709"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5</w:t>
            </w:r>
          </w:p>
        </w:tc>
        <w:tc>
          <w:tcPr>
            <w:tcW w:w="139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资金到位率</w:t>
            </w:r>
          </w:p>
        </w:tc>
        <w:tc>
          <w:tcPr>
            <w:tcW w:w="873"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3</w:t>
            </w:r>
          </w:p>
        </w:tc>
        <w:tc>
          <w:tcPr>
            <w:tcW w:w="7548" w:type="dxa"/>
            <w:tcBorders>
              <w:top w:val="nil"/>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cs="宋体"/>
                <w:color w:val="000000"/>
                <w:kern w:val="0"/>
                <w:sz w:val="21"/>
                <w:szCs w:val="21"/>
              </w:rPr>
            </w:pPr>
            <w:r>
              <w:rPr>
                <w:rFonts w:hint="eastAsia" w:ascii="仿宋_GB2312" w:hAnsi="宋体" w:cs="宋体"/>
                <w:color w:val="000000"/>
                <w:kern w:val="0"/>
                <w:sz w:val="21"/>
                <w:szCs w:val="21"/>
              </w:rPr>
              <w:t>1.各类来源的资金足额到位的，得3分；</w:t>
            </w:r>
            <w:r>
              <w:rPr>
                <w:rFonts w:hint="eastAsia" w:ascii="仿宋_GB2312" w:hAnsi="宋体" w:cs="宋体"/>
                <w:color w:val="000000"/>
                <w:kern w:val="0"/>
                <w:sz w:val="21"/>
                <w:szCs w:val="21"/>
              </w:rPr>
              <w:br w:type="textWrapping"/>
            </w:r>
            <w:r>
              <w:rPr>
                <w:rFonts w:hint="eastAsia" w:ascii="仿宋_GB2312" w:hAnsi="宋体" w:cs="宋体"/>
                <w:color w:val="000000"/>
                <w:kern w:val="0"/>
                <w:sz w:val="21"/>
                <w:szCs w:val="21"/>
              </w:rPr>
              <w:t>2.各类来源的资金未足额到位的，按实际到位金额/应到位金额*指标分值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3"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85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709"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139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资金到位及时性</w:t>
            </w:r>
          </w:p>
        </w:tc>
        <w:tc>
          <w:tcPr>
            <w:tcW w:w="873"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2</w:t>
            </w:r>
          </w:p>
        </w:tc>
        <w:tc>
          <w:tcPr>
            <w:tcW w:w="7548" w:type="dxa"/>
            <w:tcBorders>
              <w:top w:val="nil"/>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cs="宋体"/>
                <w:color w:val="000000"/>
                <w:kern w:val="0"/>
                <w:sz w:val="21"/>
                <w:szCs w:val="21"/>
              </w:rPr>
            </w:pPr>
            <w:r>
              <w:rPr>
                <w:rFonts w:hint="eastAsia" w:ascii="仿宋_GB2312" w:hAnsi="宋体" w:cs="宋体"/>
                <w:color w:val="000000"/>
                <w:kern w:val="0"/>
                <w:sz w:val="21"/>
                <w:szCs w:val="21"/>
              </w:rPr>
              <w:t>1.各类来源的资金及时到位的，得2分；</w:t>
            </w:r>
            <w:r>
              <w:rPr>
                <w:rFonts w:hint="eastAsia" w:ascii="仿宋_GB2312" w:hAnsi="宋体" w:cs="宋体"/>
                <w:color w:val="000000"/>
                <w:kern w:val="0"/>
                <w:sz w:val="21"/>
                <w:szCs w:val="21"/>
              </w:rPr>
              <w:br w:type="textWrapping"/>
            </w:r>
            <w:r>
              <w:rPr>
                <w:rFonts w:hint="eastAsia" w:ascii="仿宋_GB2312" w:hAnsi="宋体" w:cs="宋体"/>
                <w:color w:val="000000"/>
                <w:kern w:val="0"/>
                <w:sz w:val="21"/>
                <w:szCs w:val="21"/>
              </w:rPr>
              <w:t>2.各类来源的资金未及时到位的，按实际及时到位的金额/应及时到位的金额*指标分值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7" w:hRule="atLeast"/>
        </w:trPr>
        <w:tc>
          <w:tcPr>
            <w:tcW w:w="423"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850"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资金</w:t>
            </w:r>
          </w:p>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分配</w:t>
            </w:r>
          </w:p>
        </w:tc>
        <w:tc>
          <w:tcPr>
            <w:tcW w:w="70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3</w:t>
            </w:r>
          </w:p>
        </w:tc>
        <w:tc>
          <w:tcPr>
            <w:tcW w:w="139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资金分配合理性</w:t>
            </w:r>
          </w:p>
        </w:tc>
        <w:tc>
          <w:tcPr>
            <w:tcW w:w="873"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3</w:t>
            </w:r>
          </w:p>
        </w:tc>
        <w:tc>
          <w:tcPr>
            <w:tcW w:w="7548" w:type="dxa"/>
            <w:tcBorders>
              <w:top w:val="nil"/>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cs="宋体"/>
                <w:color w:val="000000"/>
                <w:kern w:val="0"/>
                <w:sz w:val="21"/>
                <w:szCs w:val="21"/>
              </w:rPr>
            </w:pPr>
            <w:r>
              <w:rPr>
                <w:rFonts w:hint="eastAsia" w:ascii="仿宋_GB2312" w:hAnsi="宋体" w:cs="宋体"/>
                <w:color w:val="000000"/>
                <w:kern w:val="0"/>
                <w:sz w:val="21"/>
                <w:szCs w:val="21"/>
              </w:rPr>
              <w:t>依据相关信息和证据判断资金分配是否合理，是否有助于实现资金的</w:t>
            </w:r>
            <w:r>
              <w:rPr>
                <w:rFonts w:hint="eastAsia" w:ascii="仿宋_GB2312" w:hAnsi="宋体" w:cs="宋体"/>
                <w:color w:val="000000"/>
                <w:kern w:val="0"/>
                <w:sz w:val="21"/>
                <w:szCs w:val="21"/>
                <w:lang w:eastAsia="zh-CN"/>
              </w:rPr>
              <w:t>绩效</w:t>
            </w:r>
            <w:r>
              <w:rPr>
                <w:rFonts w:hint="eastAsia" w:ascii="仿宋_GB2312" w:hAnsi="宋体" w:cs="宋体"/>
                <w:color w:val="000000"/>
                <w:kern w:val="0"/>
                <w:sz w:val="21"/>
                <w:szCs w:val="21"/>
              </w:rPr>
              <w:t>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423"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过程</w:t>
            </w:r>
          </w:p>
        </w:tc>
        <w:tc>
          <w:tcPr>
            <w:tcW w:w="586"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20</w:t>
            </w:r>
          </w:p>
        </w:tc>
        <w:tc>
          <w:tcPr>
            <w:tcW w:w="382"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资金管理</w:t>
            </w:r>
          </w:p>
        </w:tc>
        <w:tc>
          <w:tcPr>
            <w:tcW w:w="58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12</w:t>
            </w:r>
          </w:p>
        </w:tc>
        <w:tc>
          <w:tcPr>
            <w:tcW w:w="850"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资金</w:t>
            </w:r>
          </w:p>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支付</w:t>
            </w:r>
          </w:p>
        </w:tc>
        <w:tc>
          <w:tcPr>
            <w:tcW w:w="709"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6</w:t>
            </w:r>
          </w:p>
        </w:tc>
        <w:tc>
          <w:tcPr>
            <w:tcW w:w="1399"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lang w:eastAsia="zh-CN"/>
              </w:rPr>
              <w:t>资金</w:t>
            </w:r>
            <w:r>
              <w:rPr>
                <w:rFonts w:hint="eastAsia" w:ascii="仿宋_GB2312" w:hAnsi="宋体" w:cs="宋体"/>
                <w:color w:val="000000"/>
                <w:kern w:val="0"/>
                <w:sz w:val="21"/>
                <w:szCs w:val="21"/>
              </w:rPr>
              <w:t>支出率</w:t>
            </w:r>
          </w:p>
        </w:tc>
        <w:tc>
          <w:tcPr>
            <w:tcW w:w="873"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6</w:t>
            </w:r>
          </w:p>
        </w:tc>
        <w:tc>
          <w:tcPr>
            <w:tcW w:w="7548"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cs="宋体"/>
                <w:color w:val="000000"/>
                <w:kern w:val="0"/>
                <w:sz w:val="21"/>
                <w:szCs w:val="21"/>
              </w:rPr>
            </w:pPr>
            <w:r>
              <w:rPr>
                <w:rFonts w:hint="eastAsia" w:ascii="仿宋_GB2312" w:hAnsi="宋体" w:cs="宋体"/>
                <w:color w:val="000000"/>
                <w:kern w:val="0"/>
                <w:sz w:val="21"/>
                <w:szCs w:val="21"/>
              </w:rPr>
              <w:t>主要依据“支付额/预算额度*100*指标权重”计算核定得分，同时综合考虑工作进度，以及是否垫资或履行支付手续而影响支出率等因素适当调整最后得分。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2" w:hRule="atLeast"/>
        </w:trPr>
        <w:tc>
          <w:tcPr>
            <w:tcW w:w="42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850"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支出规范性</w:t>
            </w:r>
          </w:p>
        </w:tc>
        <w:tc>
          <w:tcPr>
            <w:tcW w:w="709"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6</w:t>
            </w:r>
          </w:p>
        </w:tc>
        <w:tc>
          <w:tcPr>
            <w:tcW w:w="1399"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支出规范性</w:t>
            </w:r>
          </w:p>
        </w:tc>
        <w:tc>
          <w:tcPr>
            <w:tcW w:w="873"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6</w:t>
            </w:r>
          </w:p>
        </w:tc>
        <w:tc>
          <w:tcPr>
            <w:tcW w:w="7548"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cs="宋体"/>
                <w:color w:val="000000"/>
                <w:kern w:val="0"/>
                <w:sz w:val="21"/>
                <w:szCs w:val="21"/>
              </w:rPr>
            </w:pPr>
            <w:r>
              <w:rPr>
                <w:rFonts w:hint="eastAsia" w:ascii="仿宋_GB2312" w:hAnsi="宋体" w:cs="宋体"/>
                <w:color w:val="000000"/>
                <w:kern w:val="0"/>
                <w:sz w:val="21"/>
                <w:szCs w:val="21"/>
              </w:rPr>
              <w:t>1.预算执行规范性2分，按规定履行调整报批手续或未发生调整的，且按事项完成进度支付资金的得满分，否则酌情扣分。2.事项支出的合规性</w:t>
            </w:r>
            <w:r>
              <w:rPr>
                <w:rFonts w:hint="eastAsia" w:ascii="仿宋_GB2312" w:hAnsi="宋体" w:cs="宋体"/>
                <w:color w:val="000000"/>
                <w:kern w:val="0"/>
                <w:sz w:val="21"/>
                <w:szCs w:val="21"/>
                <w:lang w:val="en-US" w:eastAsia="zh-CN"/>
              </w:rPr>
              <w:t>2</w:t>
            </w:r>
            <w:r>
              <w:rPr>
                <w:rFonts w:hint="eastAsia" w:ascii="仿宋_GB2312" w:hAnsi="宋体" w:cs="宋体"/>
                <w:color w:val="000000"/>
                <w:kern w:val="0"/>
                <w:sz w:val="21"/>
                <w:szCs w:val="21"/>
              </w:rPr>
              <w:t>分，资金管理、费用标准、支付符合有关制度规定的得满分，超范围、超标准支出，虚列支出，截留、挤占、挪用资金的，以及其他不符合制度规定支出的，视情节严重情况扣分，直至扣到0分。3.会计核算规范性2分，规范执行会计核算制度得满分，未按规定设专账核算，或支出凭证不符合规定，或其他核算不规范的，视具体情况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42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事项管理</w:t>
            </w:r>
          </w:p>
        </w:tc>
        <w:tc>
          <w:tcPr>
            <w:tcW w:w="58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8</w:t>
            </w:r>
          </w:p>
        </w:tc>
        <w:tc>
          <w:tcPr>
            <w:tcW w:w="850"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实施</w:t>
            </w:r>
          </w:p>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程序</w:t>
            </w:r>
          </w:p>
        </w:tc>
        <w:tc>
          <w:tcPr>
            <w:tcW w:w="709"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4</w:t>
            </w:r>
          </w:p>
        </w:tc>
        <w:tc>
          <w:tcPr>
            <w:tcW w:w="1399"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程序规范性</w:t>
            </w:r>
          </w:p>
        </w:tc>
        <w:tc>
          <w:tcPr>
            <w:tcW w:w="873"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4</w:t>
            </w:r>
          </w:p>
        </w:tc>
        <w:tc>
          <w:tcPr>
            <w:tcW w:w="7548"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cs="宋体"/>
                <w:color w:val="000000"/>
                <w:kern w:val="0"/>
                <w:sz w:val="21"/>
                <w:szCs w:val="21"/>
              </w:rPr>
            </w:pPr>
            <w:r>
              <w:rPr>
                <w:rFonts w:hint="eastAsia" w:ascii="仿宋_GB2312" w:hAnsi="宋体" w:cs="宋体"/>
                <w:color w:val="000000"/>
                <w:kern w:val="0"/>
                <w:sz w:val="21"/>
                <w:szCs w:val="21"/>
              </w:rPr>
              <w:t>项目或方案按规定程序实施,包括项目或方案调整按规定履行报批手续，项目招投标、建设、验收等或方案实施严格执行相关制度规定的，得满分，否则酌情扣分。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423"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850"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管理</w:t>
            </w:r>
          </w:p>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情况</w:t>
            </w:r>
          </w:p>
        </w:tc>
        <w:tc>
          <w:tcPr>
            <w:tcW w:w="70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4</w:t>
            </w:r>
          </w:p>
        </w:tc>
        <w:tc>
          <w:tcPr>
            <w:tcW w:w="139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监管有效性</w:t>
            </w:r>
          </w:p>
        </w:tc>
        <w:tc>
          <w:tcPr>
            <w:tcW w:w="873"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4</w:t>
            </w:r>
          </w:p>
        </w:tc>
        <w:tc>
          <w:tcPr>
            <w:tcW w:w="7548" w:type="dxa"/>
            <w:tcBorders>
              <w:top w:val="nil"/>
              <w:left w:val="nil"/>
              <w:bottom w:val="single" w:color="auto" w:sz="4" w:space="0"/>
              <w:right w:val="single" w:color="auto" w:sz="4" w:space="0"/>
              <w:tl2br w:val="nil"/>
              <w:tr2bl w:val="nil"/>
            </w:tcBorders>
            <w:noWrap w:val="0"/>
            <w:vAlign w:val="center"/>
          </w:tcPr>
          <w:p>
            <w:pPr>
              <w:widowControl/>
              <w:numPr>
                <w:ilvl w:val="0"/>
                <w:numId w:val="0"/>
              </w:numPr>
              <w:spacing w:line="240" w:lineRule="exact"/>
              <w:rPr>
                <w:rFonts w:hint="eastAsia" w:ascii="仿宋_GB2312" w:hAnsi="宋体" w:cs="宋体"/>
                <w:color w:val="000000"/>
                <w:kern w:val="0"/>
                <w:sz w:val="21"/>
                <w:szCs w:val="21"/>
              </w:rPr>
            </w:pPr>
            <w:r>
              <w:rPr>
                <w:rFonts w:hint="eastAsia" w:ascii="仿宋_GB2312" w:hAnsi="宋体" w:cs="宋体"/>
                <w:color w:val="000000"/>
                <w:kern w:val="0"/>
                <w:sz w:val="21"/>
                <w:szCs w:val="21"/>
                <w:lang w:val="en-US" w:eastAsia="zh-CN"/>
              </w:rPr>
              <w:t>1.</w:t>
            </w:r>
            <w:r>
              <w:rPr>
                <w:rFonts w:hint="eastAsia" w:ascii="仿宋_GB2312" w:hAnsi="宋体" w:cs="宋体"/>
                <w:color w:val="000000"/>
                <w:kern w:val="0"/>
                <w:sz w:val="21"/>
                <w:szCs w:val="21"/>
              </w:rPr>
              <w:t>资金使用单位或基层资金管理单位建立有效管理机制，且执行情况良好得2分，具体根据所提供的信息证据作出判断并核定分数。</w:t>
            </w:r>
          </w:p>
          <w:p>
            <w:pPr>
              <w:widowControl/>
              <w:numPr>
                <w:ilvl w:val="0"/>
                <w:numId w:val="0"/>
              </w:numPr>
              <w:spacing w:line="240" w:lineRule="exact"/>
              <w:rPr>
                <w:rFonts w:hint="eastAsia" w:ascii="仿宋_GB2312" w:hAnsi="宋体" w:cs="宋体"/>
                <w:color w:val="000000"/>
                <w:kern w:val="0"/>
                <w:sz w:val="21"/>
                <w:szCs w:val="21"/>
              </w:rPr>
            </w:pPr>
            <w:r>
              <w:rPr>
                <w:rFonts w:hint="eastAsia" w:ascii="仿宋_GB2312" w:hAnsi="宋体" w:cs="宋体"/>
                <w:color w:val="000000"/>
                <w:kern w:val="0"/>
                <w:sz w:val="21"/>
                <w:szCs w:val="21"/>
              </w:rPr>
              <w:t>2.具体根据所提供的信息证据作出判断，如各级业务主管部门按规定对项目建设或方案实施开展有效的检查、监控、督促整改的，得</w:t>
            </w:r>
            <w:r>
              <w:rPr>
                <w:rFonts w:hint="eastAsia" w:ascii="仿宋_GB2312" w:hAnsi="宋体" w:cs="宋体"/>
                <w:color w:val="000000"/>
                <w:kern w:val="0"/>
                <w:sz w:val="21"/>
                <w:szCs w:val="21"/>
                <w:lang w:val="en-US" w:eastAsia="zh-CN"/>
              </w:rPr>
              <w:t>2</w:t>
            </w:r>
            <w:r>
              <w:rPr>
                <w:rFonts w:hint="eastAsia" w:ascii="仿宋_GB2312" w:hAnsi="宋体" w:cs="宋体"/>
                <w:color w:val="000000"/>
                <w:kern w:val="0"/>
                <w:sz w:val="21"/>
                <w:szCs w:val="21"/>
              </w:rPr>
              <w:t>分；否则，视情况扣分。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423"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产出</w:t>
            </w:r>
          </w:p>
        </w:tc>
        <w:tc>
          <w:tcPr>
            <w:tcW w:w="586"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30</w:t>
            </w:r>
          </w:p>
        </w:tc>
        <w:tc>
          <w:tcPr>
            <w:tcW w:w="382" w:type="dxa"/>
            <w:vMerge w:val="restart"/>
            <w:tcBorders>
              <w:top w:val="single" w:color="auto" w:sz="4" w:space="0"/>
              <w:left w:val="nil"/>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经济性</w:t>
            </w:r>
          </w:p>
        </w:tc>
        <w:tc>
          <w:tcPr>
            <w:tcW w:w="580" w:type="dxa"/>
            <w:vMerge w:val="restart"/>
            <w:tcBorders>
              <w:top w:val="single" w:color="auto" w:sz="4" w:space="0"/>
              <w:left w:val="nil"/>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5</w:t>
            </w:r>
          </w:p>
        </w:tc>
        <w:tc>
          <w:tcPr>
            <w:tcW w:w="850"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预算</w:t>
            </w:r>
          </w:p>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控制</w:t>
            </w:r>
          </w:p>
        </w:tc>
        <w:tc>
          <w:tcPr>
            <w:tcW w:w="709"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3</w:t>
            </w:r>
          </w:p>
        </w:tc>
        <w:tc>
          <w:tcPr>
            <w:tcW w:w="1399"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eastAsia="zh-CN"/>
              </w:rPr>
              <w:t>预算</w:t>
            </w:r>
            <w:r>
              <w:rPr>
                <w:rFonts w:hint="eastAsia" w:ascii="仿宋_GB2312" w:hAnsi="宋体" w:cs="宋体"/>
                <w:color w:val="000000"/>
                <w:kern w:val="0"/>
                <w:sz w:val="21"/>
                <w:szCs w:val="21"/>
              </w:rPr>
              <w:t>控制</w:t>
            </w:r>
          </w:p>
        </w:tc>
        <w:tc>
          <w:tcPr>
            <w:tcW w:w="873"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val="en-US" w:eastAsia="zh-CN"/>
              </w:rPr>
              <w:t>3</w:t>
            </w:r>
          </w:p>
        </w:tc>
        <w:tc>
          <w:tcPr>
            <w:tcW w:w="7548" w:type="dxa"/>
            <w:tcBorders>
              <w:top w:val="single" w:color="auto" w:sz="4" w:space="0"/>
              <w:left w:val="nil"/>
              <w:bottom w:val="single" w:color="auto" w:sz="4" w:space="0"/>
              <w:right w:val="single" w:color="auto" w:sz="4" w:space="0"/>
              <w:tl2br w:val="nil"/>
              <w:tr2bl w:val="nil"/>
            </w:tcBorders>
            <w:noWrap w:val="0"/>
            <w:vAlign w:val="center"/>
          </w:tcPr>
          <w:p>
            <w:pPr>
              <w:widowControl/>
              <w:numPr>
                <w:ilvl w:val="0"/>
                <w:numId w:val="0"/>
              </w:numPr>
              <w:spacing w:line="240" w:lineRule="exact"/>
              <w:rPr>
                <w:rFonts w:hint="eastAsia" w:ascii="仿宋_GB2312" w:hAnsi="宋体" w:cs="宋体"/>
                <w:color w:val="000000"/>
                <w:kern w:val="0"/>
                <w:sz w:val="21"/>
                <w:szCs w:val="21"/>
              </w:rPr>
            </w:pPr>
            <w:r>
              <w:rPr>
                <w:rFonts w:hint="eastAsia" w:ascii="仿宋_GB2312" w:hAnsi="宋体" w:cs="宋体"/>
                <w:color w:val="000000"/>
                <w:kern w:val="0"/>
                <w:sz w:val="21"/>
                <w:szCs w:val="21"/>
              </w:rPr>
              <w:t>在预算执行进度与事项完成进度基本匹配的前提下，</w:t>
            </w:r>
            <w:r>
              <w:rPr>
                <w:rFonts w:hint="eastAsia" w:ascii="仿宋_GB2312" w:hAnsi="宋体" w:cs="宋体"/>
                <w:color w:val="000000"/>
                <w:kern w:val="0"/>
                <w:sz w:val="21"/>
                <w:szCs w:val="21"/>
                <w:lang w:eastAsia="zh-CN"/>
              </w:rPr>
              <w:t>实际支出</w:t>
            </w:r>
            <w:r>
              <w:rPr>
                <w:rFonts w:hint="eastAsia" w:ascii="仿宋_GB2312" w:hAnsi="宋体" w:cs="宋体"/>
                <w:color w:val="000000"/>
                <w:kern w:val="0"/>
                <w:sz w:val="21"/>
                <w:szCs w:val="21"/>
              </w:rPr>
              <w:t>未超过预算</w:t>
            </w:r>
            <w:r>
              <w:rPr>
                <w:rFonts w:hint="eastAsia" w:ascii="仿宋_GB2312" w:hAnsi="宋体" w:cs="宋体"/>
                <w:color w:val="000000"/>
                <w:kern w:val="0"/>
                <w:sz w:val="21"/>
                <w:szCs w:val="21"/>
                <w:lang w:eastAsia="zh-CN"/>
              </w:rPr>
              <w:t>计划</w:t>
            </w:r>
            <w:r>
              <w:rPr>
                <w:rFonts w:hint="eastAsia" w:ascii="仿宋_GB2312" w:hAnsi="宋体" w:cs="宋体"/>
                <w:color w:val="000000"/>
                <w:kern w:val="0"/>
                <w:sz w:val="21"/>
                <w:szCs w:val="21"/>
              </w:rPr>
              <w:t>的，得满分</w:t>
            </w:r>
            <w:r>
              <w:rPr>
                <w:rFonts w:hint="eastAsia" w:ascii="仿宋_GB2312" w:hAnsi="宋体" w:cs="宋体"/>
                <w:color w:val="000000"/>
                <w:kern w:val="0"/>
                <w:sz w:val="21"/>
                <w:szCs w:val="21"/>
                <w:lang w:eastAsia="zh-CN"/>
              </w:rPr>
              <w:t>；实际</w:t>
            </w:r>
            <w:r>
              <w:rPr>
                <w:rFonts w:hint="eastAsia" w:ascii="仿宋_GB2312" w:hAnsi="宋体" w:cs="宋体"/>
                <w:color w:val="000000"/>
                <w:kern w:val="0"/>
                <w:sz w:val="21"/>
                <w:szCs w:val="21"/>
              </w:rPr>
              <w:t>支出超过预算的，或者支出未能保障事项相应完成进度的，酌情扣分。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trPr>
        <w:tc>
          <w:tcPr>
            <w:tcW w:w="42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p>
        </w:tc>
        <w:tc>
          <w:tcPr>
            <w:tcW w:w="580" w:type="dxa"/>
            <w:vMerge w:val="continue"/>
            <w:tcBorders>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p>
        </w:tc>
        <w:tc>
          <w:tcPr>
            <w:tcW w:w="850"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成本</w:t>
            </w:r>
          </w:p>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eastAsia="zh-CN"/>
              </w:rPr>
              <w:t>控制</w:t>
            </w:r>
          </w:p>
        </w:tc>
        <w:tc>
          <w:tcPr>
            <w:tcW w:w="709"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2</w:t>
            </w:r>
          </w:p>
        </w:tc>
        <w:tc>
          <w:tcPr>
            <w:tcW w:w="1399"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both"/>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 xml:space="preserve">  成本节约</w:t>
            </w:r>
          </w:p>
        </w:tc>
        <w:tc>
          <w:tcPr>
            <w:tcW w:w="873"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2</w:t>
            </w:r>
          </w:p>
        </w:tc>
        <w:tc>
          <w:tcPr>
            <w:tcW w:w="7548"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在项目按照预算完成的前提下，与同类项目或市场价格比较，项目实施的成本（包括工程造价、物品采购单价、人员经费等）属于合理范围的（如与同类项目或市场价格大致相符的）得满分；成本不合理的（如明显高于或低于同类项目或市场价格的）酌情扣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42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效率性</w:t>
            </w:r>
          </w:p>
        </w:tc>
        <w:tc>
          <w:tcPr>
            <w:tcW w:w="58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rPr>
              <w:t>2</w:t>
            </w:r>
            <w:r>
              <w:rPr>
                <w:rFonts w:hint="eastAsia" w:ascii="仿宋_GB2312" w:hAnsi="宋体" w:cs="宋体"/>
                <w:color w:val="000000"/>
                <w:kern w:val="0"/>
                <w:sz w:val="21"/>
                <w:szCs w:val="21"/>
                <w:lang w:val="en-US" w:eastAsia="zh-CN"/>
              </w:rPr>
              <w:t>5</w:t>
            </w:r>
          </w:p>
        </w:tc>
        <w:tc>
          <w:tcPr>
            <w:tcW w:w="850"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完成</w:t>
            </w:r>
          </w:p>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进度</w:t>
            </w:r>
          </w:p>
        </w:tc>
        <w:tc>
          <w:tcPr>
            <w:tcW w:w="709" w:type="dxa"/>
            <w:vMerge w:val="restart"/>
            <w:tcBorders>
              <w:top w:val="single" w:color="auto" w:sz="4" w:space="0"/>
              <w:left w:val="nil"/>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25</w:t>
            </w:r>
          </w:p>
        </w:tc>
        <w:tc>
          <w:tcPr>
            <w:tcW w:w="1399"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lang w:eastAsia="zh-CN"/>
              </w:rPr>
              <w:t>（个性指标）</w:t>
            </w:r>
          </w:p>
        </w:tc>
        <w:tc>
          <w:tcPr>
            <w:tcW w:w="873" w:type="dxa"/>
            <w:vMerge w:val="restart"/>
            <w:tcBorders>
              <w:top w:val="single" w:color="auto" w:sz="4" w:space="0"/>
              <w:left w:val="nil"/>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25</w:t>
            </w:r>
          </w:p>
        </w:tc>
        <w:tc>
          <w:tcPr>
            <w:tcW w:w="7548" w:type="dxa"/>
            <w:vMerge w:val="restart"/>
            <w:tcBorders>
              <w:top w:val="single" w:color="auto" w:sz="4" w:space="0"/>
              <w:left w:val="nil"/>
              <w:right w:val="single" w:color="auto" w:sz="4" w:space="0"/>
              <w:tl2br w:val="nil"/>
              <w:tr2bl w:val="nil"/>
            </w:tcBorders>
            <w:noWrap w:val="0"/>
            <w:vAlign w:val="center"/>
          </w:tcPr>
          <w:p>
            <w:pPr>
              <w:widowControl/>
              <w:spacing w:line="240" w:lineRule="exact"/>
              <w:ind w:firstLine="210" w:firstLineChars="100"/>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根据评价对象设置指标名称和分数权重，包括完成及时性、实际完成情况、质量达标情况等。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423"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850" w:type="dxa"/>
            <w:tcBorders>
              <w:top w:val="single" w:color="auto" w:sz="4" w:space="0"/>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完成</w:t>
            </w:r>
          </w:p>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质量</w:t>
            </w:r>
          </w:p>
        </w:tc>
        <w:tc>
          <w:tcPr>
            <w:tcW w:w="709" w:type="dxa"/>
            <w:vMerge w:val="continue"/>
            <w:tcBorders>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p>
        </w:tc>
        <w:tc>
          <w:tcPr>
            <w:tcW w:w="1399" w:type="dxa"/>
            <w:tcBorders>
              <w:top w:val="single" w:color="auto" w:sz="4" w:space="0"/>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eastAsia="zh-CN"/>
              </w:rPr>
              <w:t>（个性指标）</w:t>
            </w:r>
          </w:p>
        </w:tc>
        <w:tc>
          <w:tcPr>
            <w:tcW w:w="873" w:type="dxa"/>
            <w:vMerge w:val="continue"/>
            <w:tcBorders>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p>
        </w:tc>
        <w:tc>
          <w:tcPr>
            <w:tcW w:w="7548" w:type="dxa"/>
            <w:vMerge w:val="continue"/>
            <w:tcBorders>
              <w:left w:val="nil"/>
              <w:bottom w:val="single" w:color="auto" w:sz="4" w:space="0"/>
              <w:right w:val="single" w:color="auto" w:sz="4" w:space="0"/>
              <w:tl2br w:val="nil"/>
              <w:tr2bl w:val="nil"/>
            </w:tcBorders>
            <w:noWrap w:val="0"/>
            <w:vAlign w:val="center"/>
          </w:tcPr>
          <w:p>
            <w:pPr>
              <w:widowControl/>
              <w:spacing w:line="240" w:lineRule="exact"/>
              <w:ind w:firstLine="210" w:firstLineChars="100"/>
              <w:rPr>
                <w:rFonts w:hint="eastAsia" w:ascii="仿宋_GB2312" w:hAnsi="宋体" w:eastAsia="仿宋_GB2312" w:cs="宋体"/>
                <w:color w:val="000000"/>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423"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效益</w:t>
            </w:r>
          </w:p>
        </w:tc>
        <w:tc>
          <w:tcPr>
            <w:tcW w:w="586"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30</w:t>
            </w:r>
          </w:p>
        </w:tc>
        <w:tc>
          <w:tcPr>
            <w:tcW w:w="382"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效果性</w:t>
            </w:r>
          </w:p>
        </w:tc>
        <w:tc>
          <w:tcPr>
            <w:tcW w:w="580" w:type="dxa"/>
            <w:vMerge w:val="restart"/>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25</w:t>
            </w:r>
          </w:p>
        </w:tc>
        <w:tc>
          <w:tcPr>
            <w:tcW w:w="850"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经济</w:t>
            </w:r>
          </w:p>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效益</w:t>
            </w:r>
          </w:p>
        </w:tc>
        <w:tc>
          <w:tcPr>
            <w:tcW w:w="709" w:type="dxa"/>
            <w:vMerge w:val="restart"/>
            <w:tcBorders>
              <w:top w:val="nil"/>
              <w:left w:val="nil"/>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25</w:t>
            </w:r>
          </w:p>
        </w:tc>
        <w:tc>
          <w:tcPr>
            <w:tcW w:w="1399" w:type="dxa"/>
            <w:vMerge w:val="restart"/>
            <w:tcBorders>
              <w:top w:val="nil"/>
              <w:left w:val="nil"/>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lang w:eastAsia="zh-CN"/>
              </w:rPr>
              <w:t>（个性指标）</w:t>
            </w:r>
          </w:p>
        </w:tc>
        <w:tc>
          <w:tcPr>
            <w:tcW w:w="873" w:type="dxa"/>
            <w:vMerge w:val="restart"/>
            <w:tcBorders>
              <w:top w:val="nil"/>
              <w:left w:val="nil"/>
              <w:right w:val="single" w:color="auto" w:sz="4" w:space="0"/>
              <w:tl2br w:val="nil"/>
              <w:tr2bl w:val="nil"/>
            </w:tcBorders>
            <w:noWrap w:val="0"/>
            <w:vAlign w:val="center"/>
          </w:tcPr>
          <w:p>
            <w:pPr>
              <w:widowControl/>
              <w:spacing w:line="240" w:lineRule="exact"/>
              <w:jc w:val="center"/>
              <w:rPr>
                <w:rFonts w:hint="default"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21</w:t>
            </w:r>
          </w:p>
        </w:tc>
        <w:tc>
          <w:tcPr>
            <w:tcW w:w="7548" w:type="dxa"/>
            <w:vMerge w:val="restart"/>
            <w:tcBorders>
              <w:top w:val="nil"/>
              <w:left w:val="nil"/>
              <w:right w:val="single" w:color="auto" w:sz="4" w:space="0"/>
              <w:tl2br w:val="nil"/>
              <w:tr2bl w:val="nil"/>
            </w:tcBorders>
            <w:noWrap w:val="0"/>
            <w:vAlign w:val="center"/>
          </w:tcPr>
          <w:p>
            <w:pPr>
              <w:widowControl/>
              <w:spacing w:line="240" w:lineRule="exact"/>
              <w:rPr>
                <w:rFonts w:hint="eastAsia" w:ascii="仿宋_GB2312" w:hAnsi="宋体" w:cs="宋体"/>
                <w:color w:val="000000"/>
                <w:kern w:val="0"/>
                <w:sz w:val="21"/>
                <w:szCs w:val="21"/>
                <w:lang w:val="en-US" w:eastAsia="zh-CN"/>
              </w:rPr>
            </w:pPr>
            <w:r>
              <w:rPr>
                <w:rFonts w:hint="eastAsia" w:ascii="仿宋_GB2312" w:hAnsi="宋体" w:cs="宋体"/>
                <w:color w:val="000000"/>
                <w:kern w:val="0"/>
                <w:sz w:val="21"/>
                <w:szCs w:val="21"/>
                <w:lang w:val="en-US" w:eastAsia="zh-CN"/>
              </w:rPr>
              <w:t xml:space="preserve">  根据评价对象选择效果性指标，并相应设置指标名称和分数权重。</w:t>
            </w:r>
          </w:p>
          <w:p>
            <w:pPr>
              <w:widowControl/>
              <w:spacing w:line="240" w:lineRule="exact"/>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423"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850" w:type="dxa"/>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社会</w:t>
            </w:r>
          </w:p>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效益</w:t>
            </w:r>
          </w:p>
        </w:tc>
        <w:tc>
          <w:tcPr>
            <w:tcW w:w="709" w:type="dxa"/>
            <w:vMerge w:val="continue"/>
            <w:tcBorders>
              <w:left w:val="nil"/>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p>
        </w:tc>
        <w:tc>
          <w:tcPr>
            <w:tcW w:w="1399" w:type="dxa"/>
            <w:vMerge w:val="continue"/>
            <w:tcBorders>
              <w:left w:val="nil"/>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p>
        </w:tc>
        <w:tc>
          <w:tcPr>
            <w:tcW w:w="873" w:type="dxa"/>
            <w:vMerge w:val="continue"/>
            <w:tcBorders>
              <w:left w:val="nil"/>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p>
        </w:tc>
        <w:tc>
          <w:tcPr>
            <w:tcW w:w="7548" w:type="dxa"/>
            <w:vMerge w:val="continue"/>
            <w:tcBorders>
              <w:left w:val="nil"/>
              <w:right w:val="single" w:color="auto" w:sz="4" w:space="0"/>
              <w:tl2br w:val="nil"/>
              <w:tr2bl w:val="nil"/>
            </w:tcBorders>
            <w:noWrap w:val="0"/>
            <w:vAlign w:val="center"/>
          </w:tcPr>
          <w:p>
            <w:pPr>
              <w:widowControl/>
              <w:spacing w:line="240" w:lineRule="exact"/>
              <w:rPr>
                <w:rFonts w:hint="eastAsia" w:ascii="仿宋_GB2312" w:hAnsi="宋体" w:eastAsia="仿宋_GB2312" w:cs="宋体"/>
                <w:color w:val="000000"/>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423"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850" w:type="dxa"/>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lang w:eastAsia="zh-CN"/>
              </w:rPr>
            </w:pPr>
            <w:r>
              <w:rPr>
                <w:rFonts w:hint="eastAsia" w:ascii="仿宋_GB2312" w:hAnsi="宋体" w:cs="宋体"/>
                <w:color w:val="000000"/>
                <w:kern w:val="0"/>
                <w:sz w:val="21"/>
                <w:szCs w:val="21"/>
                <w:lang w:eastAsia="zh-CN"/>
              </w:rPr>
              <w:t>生态</w:t>
            </w:r>
          </w:p>
          <w:p>
            <w:pPr>
              <w:widowControl/>
              <w:spacing w:line="240" w:lineRule="exact"/>
              <w:jc w:val="center"/>
              <w:rPr>
                <w:rFonts w:hint="eastAsia" w:ascii="仿宋_GB2312" w:hAnsi="宋体" w:eastAsia="仿宋_GB2312" w:cs="宋体"/>
                <w:color w:val="000000"/>
                <w:kern w:val="0"/>
                <w:sz w:val="21"/>
                <w:szCs w:val="21"/>
                <w:lang w:eastAsia="zh-CN"/>
              </w:rPr>
            </w:pPr>
            <w:r>
              <w:rPr>
                <w:rFonts w:hint="eastAsia" w:ascii="仿宋_GB2312" w:hAnsi="宋体" w:cs="宋体"/>
                <w:color w:val="000000"/>
                <w:kern w:val="0"/>
                <w:sz w:val="21"/>
                <w:szCs w:val="21"/>
                <w:lang w:eastAsia="zh-CN"/>
              </w:rPr>
              <w:t>效益</w:t>
            </w:r>
          </w:p>
        </w:tc>
        <w:tc>
          <w:tcPr>
            <w:tcW w:w="709" w:type="dxa"/>
            <w:vMerge w:val="continue"/>
            <w:tcBorders>
              <w:left w:val="nil"/>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p>
        </w:tc>
        <w:tc>
          <w:tcPr>
            <w:tcW w:w="1399" w:type="dxa"/>
            <w:vMerge w:val="continue"/>
            <w:tcBorders>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lang w:eastAsia="zh-CN"/>
              </w:rPr>
            </w:pPr>
          </w:p>
        </w:tc>
        <w:tc>
          <w:tcPr>
            <w:tcW w:w="873" w:type="dxa"/>
            <w:vMerge w:val="continue"/>
            <w:tcBorders>
              <w:left w:val="nil"/>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lang w:val="en-US" w:eastAsia="zh-CN"/>
              </w:rPr>
            </w:pPr>
          </w:p>
        </w:tc>
        <w:tc>
          <w:tcPr>
            <w:tcW w:w="7548" w:type="dxa"/>
            <w:vMerge w:val="continue"/>
            <w:tcBorders>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cs="宋体"/>
                <w:color w:val="000000"/>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423"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0"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850" w:type="dxa"/>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可持续发展</w:t>
            </w:r>
          </w:p>
        </w:tc>
        <w:tc>
          <w:tcPr>
            <w:tcW w:w="709" w:type="dxa"/>
            <w:vMerge w:val="continue"/>
            <w:tcBorders>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p>
        </w:tc>
        <w:tc>
          <w:tcPr>
            <w:tcW w:w="139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lang w:eastAsia="zh-CN"/>
              </w:rPr>
              <w:t>（个性指标）</w:t>
            </w:r>
          </w:p>
        </w:tc>
        <w:tc>
          <w:tcPr>
            <w:tcW w:w="873" w:type="dxa"/>
            <w:vMerge w:val="continue"/>
            <w:tcBorders>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p>
        </w:tc>
        <w:tc>
          <w:tcPr>
            <w:tcW w:w="7548" w:type="dxa"/>
            <w:tcBorders>
              <w:top w:val="nil"/>
              <w:left w:val="nil"/>
              <w:bottom w:val="single" w:color="auto" w:sz="4" w:space="0"/>
              <w:right w:val="single" w:color="auto" w:sz="4" w:space="0"/>
              <w:tl2br w:val="nil"/>
              <w:tr2bl w:val="nil"/>
            </w:tcBorders>
            <w:noWrap w:val="0"/>
            <w:vAlign w:val="center"/>
          </w:tcPr>
          <w:p>
            <w:pPr>
              <w:widowControl/>
              <w:spacing w:line="240" w:lineRule="exact"/>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 xml:space="preserve">  根据评价对象设置指标名称和分数权重。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423"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586" w:type="dxa"/>
            <w:vMerge w:val="continue"/>
            <w:tcBorders>
              <w:top w:val="nil"/>
              <w:left w:val="single" w:color="auto" w:sz="4" w:space="0"/>
              <w:bottom w:val="single" w:color="auto" w:sz="4" w:space="0"/>
              <w:right w:val="single" w:color="auto" w:sz="4" w:space="0"/>
              <w:tl2br w:val="nil"/>
              <w:tr2bl w:val="nil"/>
            </w:tcBorders>
            <w:noWrap w:val="0"/>
            <w:vAlign w:val="center"/>
          </w:tcPr>
          <w:p>
            <w:pPr>
              <w:widowControl/>
              <w:spacing w:line="240" w:lineRule="exact"/>
              <w:jc w:val="left"/>
              <w:rPr>
                <w:rFonts w:ascii="仿宋_GB2312" w:hAnsi="宋体" w:cs="宋体"/>
                <w:color w:val="000000"/>
                <w:kern w:val="0"/>
                <w:sz w:val="21"/>
                <w:szCs w:val="21"/>
              </w:rPr>
            </w:pPr>
          </w:p>
        </w:tc>
        <w:tc>
          <w:tcPr>
            <w:tcW w:w="382"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公平性</w:t>
            </w:r>
          </w:p>
        </w:tc>
        <w:tc>
          <w:tcPr>
            <w:tcW w:w="580"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5</w:t>
            </w:r>
          </w:p>
        </w:tc>
        <w:tc>
          <w:tcPr>
            <w:tcW w:w="850"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满意度</w:t>
            </w:r>
          </w:p>
        </w:tc>
        <w:tc>
          <w:tcPr>
            <w:tcW w:w="70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5</w:t>
            </w:r>
          </w:p>
        </w:tc>
        <w:tc>
          <w:tcPr>
            <w:tcW w:w="1399"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cs="宋体"/>
                <w:color w:val="000000"/>
                <w:kern w:val="0"/>
                <w:sz w:val="21"/>
                <w:szCs w:val="21"/>
                <w:lang w:eastAsia="zh-CN"/>
              </w:rPr>
            </w:pPr>
            <w:r>
              <w:rPr>
                <w:rFonts w:hint="eastAsia" w:ascii="仿宋_GB2312" w:hAnsi="宋体" w:cs="宋体"/>
                <w:color w:val="000000"/>
                <w:kern w:val="0"/>
                <w:sz w:val="21"/>
                <w:szCs w:val="21"/>
                <w:lang w:eastAsia="zh-CN"/>
              </w:rPr>
              <w:t>服务对象</w:t>
            </w:r>
          </w:p>
          <w:p>
            <w:pPr>
              <w:widowControl/>
              <w:spacing w:line="240" w:lineRule="exact"/>
              <w:jc w:val="center"/>
              <w:rPr>
                <w:rFonts w:hint="eastAsia" w:ascii="仿宋_GB2312" w:hAnsi="宋体" w:cs="宋体"/>
                <w:color w:val="000000"/>
                <w:kern w:val="0"/>
                <w:sz w:val="21"/>
                <w:szCs w:val="21"/>
              </w:rPr>
            </w:pPr>
            <w:r>
              <w:rPr>
                <w:rFonts w:hint="eastAsia" w:ascii="仿宋_GB2312" w:hAnsi="宋体" w:cs="宋体"/>
                <w:color w:val="000000"/>
                <w:kern w:val="0"/>
                <w:sz w:val="21"/>
                <w:szCs w:val="21"/>
              </w:rPr>
              <w:t>满意度</w:t>
            </w:r>
          </w:p>
        </w:tc>
        <w:tc>
          <w:tcPr>
            <w:tcW w:w="873" w:type="dxa"/>
            <w:tcBorders>
              <w:top w:val="nil"/>
              <w:left w:val="nil"/>
              <w:bottom w:val="single" w:color="auto" w:sz="4" w:space="0"/>
              <w:right w:val="single" w:color="auto" w:sz="4" w:space="0"/>
              <w:tl2br w:val="nil"/>
              <w:tr2bl w:val="nil"/>
            </w:tcBorders>
            <w:noWrap w:val="0"/>
            <w:vAlign w:val="center"/>
          </w:tcPr>
          <w:p>
            <w:pPr>
              <w:widowControl/>
              <w:spacing w:line="240" w:lineRule="exact"/>
              <w:jc w:val="center"/>
              <w:rPr>
                <w:rFonts w:hint="eastAsia" w:ascii="仿宋_GB2312" w:hAnsi="宋体" w:eastAsia="仿宋_GB2312" w:cs="宋体"/>
                <w:color w:val="000000"/>
                <w:kern w:val="0"/>
                <w:sz w:val="21"/>
                <w:szCs w:val="21"/>
                <w:lang w:val="en-US" w:eastAsia="zh-CN"/>
              </w:rPr>
            </w:pPr>
            <w:r>
              <w:rPr>
                <w:rFonts w:hint="eastAsia" w:ascii="仿宋_GB2312" w:hAnsi="宋体" w:cs="宋体"/>
                <w:color w:val="000000"/>
                <w:kern w:val="0"/>
                <w:sz w:val="21"/>
                <w:szCs w:val="21"/>
                <w:lang w:val="en-US" w:eastAsia="zh-CN"/>
              </w:rPr>
              <w:t>5</w:t>
            </w:r>
          </w:p>
        </w:tc>
        <w:tc>
          <w:tcPr>
            <w:tcW w:w="7548" w:type="dxa"/>
            <w:tcBorders>
              <w:top w:val="nil"/>
              <w:left w:val="nil"/>
              <w:bottom w:val="single" w:color="auto" w:sz="4" w:space="0"/>
              <w:right w:val="single" w:color="auto" w:sz="4" w:space="0"/>
              <w:tl2br w:val="nil"/>
              <w:tr2bl w:val="nil"/>
            </w:tcBorders>
            <w:noWrap w:val="0"/>
            <w:vAlign w:val="center"/>
          </w:tcPr>
          <w:p>
            <w:pPr>
              <w:widowControl/>
              <w:spacing w:line="240" w:lineRule="exact"/>
              <w:ind w:firstLine="210" w:firstLineChars="100"/>
              <w:rPr>
                <w:rFonts w:hint="eastAsia" w:ascii="仿宋_GB2312" w:hAnsi="宋体" w:cs="宋体"/>
                <w:color w:val="000000"/>
                <w:kern w:val="0"/>
                <w:sz w:val="21"/>
                <w:szCs w:val="21"/>
              </w:rPr>
            </w:pPr>
            <w:r>
              <w:rPr>
                <w:rFonts w:hint="eastAsia" w:ascii="仿宋_GB2312" w:hAnsi="宋体" w:cs="宋体"/>
                <w:color w:val="000000"/>
                <w:kern w:val="0"/>
                <w:sz w:val="21"/>
                <w:szCs w:val="21"/>
              </w:rPr>
              <w:t>表示满意的</w:t>
            </w:r>
            <w:r>
              <w:rPr>
                <w:rFonts w:hint="eastAsia" w:ascii="仿宋_GB2312" w:hAnsi="宋体" w:cs="宋体"/>
                <w:color w:val="000000"/>
                <w:kern w:val="0"/>
                <w:sz w:val="21"/>
                <w:szCs w:val="21"/>
                <w:lang w:eastAsia="zh-CN"/>
              </w:rPr>
              <w:t>服务对象</w:t>
            </w:r>
            <w:r>
              <w:rPr>
                <w:rFonts w:hint="eastAsia" w:ascii="仿宋_GB2312" w:hAnsi="宋体" w:cs="宋体"/>
                <w:color w:val="000000"/>
                <w:kern w:val="0"/>
                <w:sz w:val="21"/>
                <w:szCs w:val="21"/>
              </w:rPr>
              <w:t>数/项目覆盖范围内接受调查的</w:t>
            </w:r>
            <w:r>
              <w:rPr>
                <w:rFonts w:hint="eastAsia" w:ascii="仿宋_GB2312" w:hAnsi="宋体" w:cs="宋体"/>
                <w:color w:val="000000"/>
                <w:kern w:val="0"/>
                <w:sz w:val="21"/>
                <w:szCs w:val="21"/>
                <w:lang w:eastAsia="zh-CN"/>
              </w:rPr>
              <w:t>对象</w:t>
            </w:r>
            <w:r>
              <w:rPr>
                <w:rFonts w:hint="eastAsia" w:ascii="仿宋_GB2312" w:hAnsi="宋体" w:cs="宋体"/>
                <w:color w:val="000000"/>
                <w:kern w:val="0"/>
                <w:sz w:val="21"/>
                <w:szCs w:val="21"/>
              </w:rPr>
              <w:t>总数*指标分值</w:t>
            </w:r>
          </w:p>
        </w:tc>
      </w:tr>
    </w:tbl>
    <w:tbl>
      <w:tblPr>
        <w:tblStyle w:val="5"/>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3372" w:type="dxa"/>
          </w:tcPr>
          <w:p>
            <w:pPr>
              <w:pStyle w:val="3"/>
              <w:widowControl/>
              <w:pBdr>
                <w:top w:val="none" w:color="auto" w:sz="0" w:space="0"/>
                <w:left w:val="none" w:color="auto" w:sz="0" w:space="0"/>
                <w:bottom w:val="none" w:color="auto" w:sz="0" w:space="0"/>
                <w:right w:val="none" w:color="auto" w:sz="0" w:space="0"/>
              </w:pBdr>
              <w:adjustRightInd w:val="0"/>
              <w:snapToGrid w:val="0"/>
              <w:spacing w:line="400" w:lineRule="exact"/>
              <w:ind w:firstLine="840" w:firstLineChars="400"/>
              <w:rPr>
                <w:rFonts w:hint="default" w:ascii="黑体" w:hAnsi="黑体" w:eastAsia="黑体" w:cs="黑体"/>
                <w:b/>
                <w:bCs/>
                <w:sz w:val="32"/>
                <w:szCs w:val="32"/>
                <w:vertAlign w:val="baseline"/>
                <w:lang w:val="en-US" w:eastAsia="zh-CN"/>
              </w:rPr>
            </w:pPr>
            <w:r>
              <w:rPr>
                <w:rFonts w:hint="eastAsia" w:ascii="仿宋_GB2312" w:hAnsi="宋体" w:eastAsia="仿宋_GB2312" w:cs="宋体"/>
                <w:color w:val="000000"/>
                <w:kern w:val="0"/>
                <w:sz w:val="21"/>
                <w:szCs w:val="21"/>
                <w:lang w:val="en-US" w:eastAsia="zh-CN" w:bidi="ar-SA"/>
              </w:rPr>
              <w:t>项目评价总得分：</w:t>
            </w:r>
            <w:r>
              <w:rPr>
                <w:rFonts w:hint="eastAsia" w:ascii="仿宋_GB2312" w:hAnsi="宋体" w:cs="宋体"/>
                <w:color w:val="000000"/>
                <w:kern w:val="0"/>
                <w:sz w:val="21"/>
                <w:szCs w:val="21"/>
                <w:lang w:val="en-US" w:eastAsia="zh-CN" w:bidi="ar-SA"/>
              </w:rPr>
              <w:t>96分</w:t>
            </w:r>
          </w:p>
        </w:tc>
      </w:tr>
    </w:tbl>
    <w:p>
      <w:pPr>
        <w:pStyle w:val="3"/>
        <w:widowControl/>
        <w:shd w:val="clear" w:color="auto" w:fill="FFFFFF"/>
        <w:adjustRightInd w:val="0"/>
        <w:snapToGrid w:val="0"/>
        <w:spacing w:line="400" w:lineRule="exact"/>
        <w:rPr>
          <w:rFonts w:ascii="黑体" w:hAnsi="黑体" w:eastAsia="黑体" w:cs="黑体"/>
          <w:b/>
          <w:bCs/>
          <w:sz w:val="32"/>
          <w:szCs w:val="32"/>
        </w:rPr>
        <w:sectPr>
          <w:headerReference r:id="rId3" w:type="default"/>
          <w:footerReference r:id="rId4" w:type="default"/>
          <w:pgSz w:w="16838" w:h="11906" w:orient="landscape"/>
          <w:pgMar w:top="1531" w:right="2041" w:bottom="1417" w:left="1417" w:header="851" w:footer="992" w:gutter="0"/>
          <w:pgBorders>
            <w:top w:val="none" w:sz="0" w:space="0"/>
            <w:left w:val="none" w:sz="0" w:space="0"/>
            <w:bottom w:val="none" w:sz="0" w:space="0"/>
            <w:right w:val="none" w:sz="0" w:space="0"/>
          </w:pgBorders>
          <w:pgNumType w:fmt="numberInDash"/>
          <w:cols w:space="720" w:num="1"/>
          <w:docGrid w:type="lines" w:linePitch="408" w:charSpace="0"/>
        </w:sectPr>
      </w:pP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60"/>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o&#10;aYJL0wAAAAUBAAAPAAAAAAAAAAEAIAAAACIAAABkcnMvZG93bnJldi54bWxQSwECFAAUAAAACACH&#10;TuJA+jUQibcBAABVAwAADgAAAAAAAAABACAAAAAiAQAAZHJzL2Uyb0RvYy54bWxQSwUGAAAAAAYA&#10;BgBZAQAASwUAAAAA&#10;">
              <v:fill on="f" focussize="0,0"/>
              <v:stroke on="f" weight="1.25pt"/>
              <v:imagedata o:title=""/>
              <o:lock v:ext="edit" aspectratio="f"/>
              <v:textbox inset="0mm,0mm,0mm,0mm" style="mso-fit-shape-to-text:t;">
                <w:txbxContent>
                  <w:p>
                    <w:pPr>
                      <w:pStyle w:val="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0"/>
      </w:pBdr>
      <w:ind w:left="6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72687"/>
    <w:rsid w:val="0F0F5B45"/>
    <w:rsid w:val="16F805BF"/>
    <w:rsid w:val="64A72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rFonts w:eastAsia="宋体"/>
      <w:sz w:val="18"/>
      <w:szCs w:val="18"/>
    </w:rPr>
  </w:style>
  <w:style w:type="paragraph" w:styleId="3">
    <w:name w:val="Normal (Web)"/>
    <w:basedOn w:val="1"/>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2020-03-16T02:35:00Z</dcterms:created>
  <dc:creator>丢籽</dc:creator>
  <cp:lastModifiedBy>丢籽</cp:lastModifiedBy>
  <dcterms:modified xsi:type="dcterms:W3CDTF">2020-03-16T02:56:02Z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